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512EA007" w:rsidR="00A0571A" w:rsidRPr="00416FB2" w:rsidRDefault="00705237" w:rsidP="006C6126">
      <w:pPr>
        <w:spacing w:line="276" w:lineRule="auto"/>
        <w:jc w:val="center"/>
        <w:rPr>
          <w:rFonts w:ascii="Arial" w:hAnsi="Arial" w:cs="Arial"/>
          <w:b/>
          <w:bCs/>
        </w:rPr>
      </w:pPr>
      <w:r>
        <w:rPr>
          <w:rStyle w:val="Gl"/>
          <w:rFonts w:ascii="Arial" w:hAnsi="Arial" w:cs="Arial"/>
        </w:rPr>
        <w:t>KOOPERATİFÇİLİK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340470F3"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705237">
        <w:rPr>
          <w:rFonts w:ascii="Arial" w:hAnsi="Arial" w:cs="Arial"/>
          <w:sz w:val="22"/>
          <w:szCs w:val="22"/>
        </w:rPr>
        <w:t>Kooperatifçilik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BA57125" w:rsidR="003F57DD" w:rsidRPr="003F57DD" w:rsidRDefault="00705237"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KOOPERATİFÇİLİK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3E1AEAC2" w:rsidR="0093273A" w:rsidRPr="0093273A" w:rsidRDefault="00705237"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KOOPERATİFÇİLİK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6BA6BAEE" w:rsidR="0093273A" w:rsidRPr="007145F7" w:rsidRDefault="00705237"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KOOPERATİFÇİLİK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15C354AE" w:rsidR="0093273A" w:rsidRPr="007145F7" w:rsidRDefault="00705237"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KOOPERATİFÇİLİK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6484A"/>
    <w:rsid w:val="005C5E4E"/>
    <w:rsid w:val="005D6AA6"/>
    <w:rsid w:val="005E76A2"/>
    <w:rsid w:val="00634B53"/>
    <w:rsid w:val="006743C5"/>
    <w:rsid w:val="006905C0"/>
    <w:rsid w:val="006B3D12"/>
    <w:rsid w:val="006C6126"/>
    <w:rsid w:val="006C6899"/>
    <w:rsid w:val="006F238F"/>
    <w:rsid w:val="00705237"/>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1537</Words>
  <Characters>8764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2026-05-20T20:27:00Z</dcterms:modified>
</cp:coreProperties>
</file>